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FC" w:rsidRDefault="007E3DFC" w:rsidP="004A3978">
      <w:pPr>
        <w:bidi w:val="0"/>
      </w:pPr>
      <w:proofErr w:type="gramStart"/>
      <w:r>
        <w:t>Table 1</w:t>
      </w:r>
      <w:r w:rsidR="00A45E82">
        <w:t>.</w:t>
      </w:r>
      <w:proofErr w:type="gramEnd"/>
      <w:r w:rsidR="00A45E82">
        <w:t xml:space="preserve"> </w:t>
      </w:r>
      <w:r w:rsidR="004A3978">
        <w:t>Clinical c</w:t>
      </w:r>
      <w:r w:rsidR="00A45E82">
        <w:t xml:space="preserve">haracteristics of 210 patients who underwent autologous peripheral blood stem cell transplantation.  </w:t>
      </w:r>
      <w:r>
        <w:t xml:space="preserve"> </w:t>
      </w:r>
    </w:p>
    <w:p w:rsidR="007E3DFC" w:rsidRDefault="007E3DFC" w:rsidP="007E3DFC">
      <w:pPr>
        <w:bidi w:val="0"/>
      </w:pPr>
    </w:p>
    <w:tbl>
      <w:tblPr>
        <w:tblStyle w:val="TableGrid"/>
        <w:tblW w:w="0" w:type="auto"/>
        <w:tblLook w:val="04A0"/>
      </w:tblPr>
      <w:tblGrid>
        <w:gridCol w:w="4883"/>
        <w:gridCol w:w="3330"/>
      </w:tblGrid>
      <w:tr w:rsidR="007E3DFC" w:rsidRPr="008A5C01" w:rsidTr="0024653B">
        <w:tc>
          <w:tcPr>
            <w:tcW w:w="4883" w:type="dxa"/>
            <w:tcBorders>
              <w:left w:val="nil"/>
              <w:bottom w:val="single" w:sz="4" w:space="0" w:color="auto"/>
              <w:right w:val="nil"/>
            </w:tcBorders>
          </w:tcPr>
          <w:p w:rsidR="007E3DFC" w:rsidRPr="008A5C01" w:rsidRDefault="007E3DFC" w:rsidP="00ED6D8D">
            <w:pPr>
              <w:bidi w:val="0"/>
              <w:rPr>
                <w:b/>
                <w:bCs/>
              </w:rPr>
            </w:pPr>
            <w:r w:rsidRPr="008A5C01">
              <w:rPr>
                <w:b/>
                <w:bCs/>
              </w:rPr>
              <w:t>Patient characteristics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3DFC" w:rsidRPr="008A5C01" w:rsidRDefault="007E3DFC" w:rsidP="00ED6D8D">
            <w:pPr>
              <w:bidi w:val="0"/>
              <w:jc w:val="center"/>
              <w:rPr>
                <w:b/>
                <w:bCs/>
              </w:rPr>
            </w:pPr>
            <w:r w:rsidRPr="008A5C01">
              <w:rPr>
                <w:b/>
                <w:bCs/>
              </w:rPr>
              <w:t>Number</w:t>
            </w:r>
            <w:r w:rsidR="0026772C">
              <w:rPr>
                <w:b/>
                <w:bCs/>
              </w:rPr>
              <w:t xml:space="preserve"> (%)</w:t>
            </w:r>
          </w:p>
        </w:tc>
      </w:tr>
      <w:tr w:rsidR="008A5C01" w:rsidRPr="008A5C01" w:rsidTr="00BE3E6E">
        <w:tc>
          <w:tcPr>
            <w:tcW w:w="4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C01" w:rsidRPr="008A5C01" w:rsidRDefault="008A5C01" w:rsidP="00ED6D8D">
            <w:pPr>
              <w:bidi w:val="0"/>
            </w:pPr>
            <w:r>
              <w:t>Total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C01" w:rsidRPr="008A5C01" w:rsidRDefault="008A5C01" w:rsidP="00ED6D8D">
            <w:pPr>
              <w:bidi w:val="0"/>
              <w:jc w:val="center"/>
            </w:pPr>
            <w:r>
              <w:t>210</w:t>
            </w:r>
            <w:r w:rsidR="00BA608C">
              <w:t xml:space="preserve"> (100%)</w:t>
            </w:r>
          </w:p>
        </w:tc>
      </w:tr>
      <w:tr w:rsidR="008A5C01" w:rsidRPr="008A5C01" w:rsidTr="00BE3E6E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8A5C01" w:rsidRDefault="008A5C01" w:rsidP="00ED6D8D">
            <w:pPr>
              <w:bidi w:val="0"/>
            </w:pPr>
            <w:r>
              <w:t>Age</w:t>
            </w:r>
            <w:r w:rsidR="00067077">
              <w:t>, years</w:t>
            </w:r>
            <w:r w:rsidR="0099172F">
              <w:t xml:space="preserve"> – Median (range)</w:t>
            </w:r>
          </w:p>
          <w:p w:rsidR="0099172F" w:rsidRDefault="0099172F" w:rsidP="0099172F">
            <w:pPr>
              <w:bidi w:val="0"/>
            </w:pPr>
            <w:r>
              <w:t>Age Groups</w:t>
            </w:r>
          </w:p>
          <w:p w:rsidR="005937D3" w:rsidRDefault="0099172F" w:rsidP="005937D3">
            <w:pPr>
              <w:bidi w:val="0"/>
              <w:ind w:left="720"/>
            </w:pPr>
            <w:r>
              <w:t>18-</w:t>
            </w:r>
            <w:r w:rsidR="005937D3">
              <w:t>29</w:t>
            </w:r>
          </w:p>
          <w:p w:rsidR="0099172F" w:rsidRDefault="0099172F" w:rsidP="005937D3">
            <w:pPr>
              <w:bidi w:val="0"/>
              <w:ind w:left="720"/>
            </w:pPr>
            <w:r>
              <w:t>3</w:t>
            </w:r>
            <w:r w:rsidR="005937D3">
              <w:t>0</w:t>
            </w:r>
            <w:r>
              <w:t>-</w:t>
            </w:r>
            <w:r w:rsidR="005937D3">
              <w:t>39</w:t>
            </w:r>
          </w:p>
          <w:p w:rsidR="0099172F" w:rsidRDefault="0099172F" w:rsidP="005937D3">
            <w:pPr>
              <w:bidi w:val="0"/>
              <w:ind w:left="720"/>
            </w:pPr>
            <w:r>
              <w:t>4</w:t>
            </w:r>
            <w:r w:rsidR="005937D3">
              <w:t>0</w:t>
            </w:r>
            <w:r>
              <w:t>-</w:t>
            </w:r>
            <w:r w:rsidR="005937D3">
              <w:t>49</w:t>
            </w:r>
          </w:p>
          <w:p w:rsidR="00F851FE" w:rsidRDefault="0099172F" w:rsidP="005937D3">
            <w:pPr>
              <w:bidi w:val="0"/>
              <w:ind w:left="720"/>
            </w:pPr>
            <w:r>
              <w:t>5</w:t>
            </w:r>
            <w:r w:rsidR="005937D3">
              <w:t>0</w:t>
            </w:r>
            <w:r w:rsidR="001E75ED">
              <w:t>-</w:t>
            </w:r>
            <w:r w:rsidR="005937D3">
              <w:t>59</w:t>
            </w:r>
          </w:p>
          <w:p w:rsidR="00664672" w:rsidRPr="008A5C01" w:rsidRDefault="001E75ED" w:rsidP="005937D3">
            <w:pPr>
              <w:bidi w:val="0"/>
              <w:ind w:left="720"/>
            </w:pPr>
            <w:r>
              <w:t>≥</w:t>
            </w:r>
            <w:r w:rsidR="00664672">
              <w:t xml:space="preserve"> 6</w:t>
            </w:r>
            <w:r w:rsidR="005937D3"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4B" w:rsidRDefault="00664672" w:rsidP="00ED6D8D">
            <w:pPr>
              <w:bidi w:val="0"/>
              <w:jc w:val="center"/>
            </w:pPr>
            <w:r>
              <w:t xml:space="preserve">43 </w:t>
            </w:r>
            <w:r w:rsidR="00811F0E">
              <w:t>(19-65)</w:t>
            </w:r>
          </w:p>
          <w:p w:rsidR="0032074B" w:rsidRDefault="0032074B" w:rsidP="0032074B">
            <w:pPr>
              <w:bidi w:val="0"/>
              <w:jc w:val="center"/>
            </w:pPr>
          </w:p>
          <w:p w:rsidR="008A5C01" w:rsidRDefault="00664672" w:rsidP="002165FF">
            <w:pPr>
              <w:bidi w:val="0"/>
              <w:jc w:val="center"/>
            </w:pPr>
            <w:r>
              <w:t>5</w:t>
            </w:r>
            <w:r w:rsidR="002165FF">
              <w:t xml:space="preserve">1 </w:t>
            </w:r>
            <w:r w:rsidR="00A45E82">
              <w:t>(</w:t>
            </w:r>
            <w:r w:rsidR="008442EE">
              <w:t>24.3</w:t>
            </w:r>
            <w:r w:rsidR="00A45E82">
              <w:t>%)</w:t>
            </w:r>
          </w:p>
          <w:p w:rsidR="0032074B" w:rsidRDefault="002E3129" w:rsidP="0032074B">
            <w:pPr>
              <w:bidi w:val="0"/>
              <w:jc w:val="center"/>
            </w:pPr>
            <w:r>
              <w:t>34</w:t>
            </w:r>
            <w:r w:rsidR="00A45E82">
              <w:t xml:space="preserve"> (16.2%)</w:t>
            </w:r>
          </w:p>
          <w:p w:rsidR="0032074B" w:rsidRDefault="002E3129" w:rsidP="002165FF">
            <w:pPr>
              <w:bidi w:val="0"/>
              <w:jc w:val="center"/>
            </w:pPr>
            <w:r>
              <w:t>4</w:t>
            </w:r>
            <w:r w:rsidR="002165FF">
              <w:t>5</w:t>
            </w:r>
            <w:r w:rsidR="00A45E82">
              <w:t xml:space="preserve"> (</w:t>
            </w:r>
            <w:r w:rsidR="008442EE">
              <w:t>21.4</w:t>
            </w:r>
            <w:r w:rsidR="00A45E82">
              <w:t>%)</w:t>
            </w:r>
          </w:p>
          <w:p w:rsidR="0032074B" w:rsidRDefault="00664672" w:rsidP="002165FF">
            <w:pPr>
              <w:bidi w:val="0"/>
              <w:jc w:val="center"/>
            </w:pPr>
            <w:r>
              <w:t>5</w:t>
            </w:r>
            <w:r w:rsidR="002165FF">
              <w:t>7</w:t>
            </w:r>
            <w:r w:rsidR="00A45E82">
              <w:t xml:space="preserve"> (</w:t>
            </w:r>
            <w:r w:rsidR="008442EE">
              <w:t>27.1</w:t>
            </w:r>
            <w:r w:rsidR="00A45E82">
              <w:t>%)</w:t>
            </w:r>
          </w:p>
          <w:p w:rsidR="00664672" w:rsidRPr="008A5C01" w:rsidRDefault="00664672" w:rsidP="008442EE">
            <w:pPr>
              <w:bidi w:val="0"/>
              <w:jc w:val="center"/>
            </w:pPr>
            <w:r>
              <w:t>2</w:t>
            </w:r>
            <w:r w:rsidR="002165FF">
              <w:t>3</w:t>
            </w:r>
            <w:r w:rsidR="00A45E82">
              <w:t xml:space="preserve"> (1</w:t>
            </w:r>
            <w:r w:rsidR="008442EE">
              <w:t>1</w:t>
            </w:r>
            <w:r w:rsidR="00A45E82">
              <w:t>.0%)</w:t>
            </w:r>
          </w:p>
        </w:tc>
      </w:tr>
      <w:tr w:rsidR="007E3DFC" w:rsidRPr="008A5C01" w:rsidTr="00BE3E6E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7E3DFC" w:rsidRPr="008A5C01" w:rsidRDefault="007E3DFC" w:rsidP="00ED6D8D">
            <w:pPr>
              <w:bidi w:val="0"/>
            </w:pPr>
            <w:r w:rsidRPr="008A5C01">
              <w:t xml:space="preserve">Gender 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Male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female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DFC" w:rsidRPr="008A5C01" w:rsidRDefault="007E3DFC" w:rsidP="00ED6D8D">
            <w:pPr>
              <w:bidi w:val="0"/>
              <w:jc w:val="center"/>
            </w:pP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87 (41.4 %)</w:t>
            </w: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123 (58.6 %)</w:t>
            </w:r>
          </w:p>
        </w:tc>
      </w:tr>
      <w:tr w:rsidR="007E3DFC" w:rsidRPr="008A5C01" w:rsidTr="00BE3E6E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7E3DFC" w:rsidRPr="008A5C01" w:rsidRDefault="008A5C01" w:rsidP="008A5C01">
            <w:pPr>
              <w:bidi w:val="0"/>
            </w:pPr>
            <w:r w:rsidRPr="008A5C01">
              <w:t>Underlying d</w:t>
            </w:r>
            <w:r w:rsidR="007E3DFC" w:rsidRPr="008A5C01">
              <w:t xml:space="preserve">isease 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Lymphoma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Multiple myeloma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8D" w:rsidRDefault="007B2B8D" w:rsidP="00ED6D8D">
            <w:pPr>
              <w:widowControl w:val="0"/>
              <w:tabs>
                <w:tab w:val="decimal" w:pos="138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</w:pPr>
          </w:p>
          <w:p w:rsidR="007E3DFC" w:rsidRPr="008A5C01" w:rsidRDefault="007E3DFC" w:rsidP="007B2B8D">
            <w:pPr>
              <w:widowControl w:val="0"/>
              <w:tabs>
                <w:tab w:val="decimal" w:pos="138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</w:pPr>
            <w:r w:rsidRPr="008A5C01">
              <w:t>115</w:t>
            </w:r>
            <w:r w:rsidR="0032074B">
              <w:t xml:space="preserve"> </w:t>
            </w:r>
            <w:r w:rsidRPr="008A5C01">
              <w:t>(54.8 %)</w:t>
            </w:r>
          </w:p>
          <w:p w:rsidR="007E3DFC" w:rsidRPr="008A5C01" w:rsidRDefault="007E3DFC" w:rsidP="00ED6D8D">
            <w:pPr>
              <w:widowControl w:val="0"/>
              <w:tabs>
                <w:tab w:val="decimal" w:pos="408"/>
              </w:tabs>
              <w:autoSpaceDE w:val="0"/>
              <w:autoSpaceDN w:val="0"/>
              <w:bidi w:val="0"/>
              <w:adjustRightInd w:val="0"/>
              <w:spacing w:before="30" w:after="30"/>
              <w:jc w:val="center"/>
            </w:pPr>
            <w:r w:rsidRPr="008A5C01">
              <w:t>95</w:t>
            </w:r>
            <w:r w:rsidR="0032074B">
              <w:t xml:space="preserve"> </w:t>
            </w:r>
            <w:r w:rsidRPr="008A5C01">
              <w:t>(45.2 %)</w:t>
            </w:r>
          </w:p>
        </w:tc>
      </w:tr>
      <w:tr w:rsidR="007E3DFC" w:rsidRPr="008A5C01" w:rsidTr="00BE3E6E">
        <w:trPr>
          <w:trHeight w:val="278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7E3DFC" w:rsidRPr="008A5C01" w:rsidRDefault="008A5C01" w:rsidP="008A5C01">
            <w:pPr>
              <w:bidi w:val="0"/>
            </w:pPr>
            <w:r w:rsidRPr="008A5C01">
              <w:t>Disease s</w:t>
            </w:r>
            <w:r w:rsidR="007E3DFC" w:rsidRPr="008A5C01">
              <w:t>tatus before transplant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C</w:t>
            </w:r>
            <w:r w:rsidR="008A5C01" w:rsidRPr="008A5C01">
              <w:t>omplete remission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P</w:t>
            </w:r>
            <w:r w:rsidR="008A5C01" w:rsidRPr="008A5C01">
              <w:t>artial remission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Stable disease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unknown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DFC" w:rsidRPr="008A5C01" w:rsidRDefault="007E3DFC" w:rsidP="00ED6D8D">
            <w:pPr>
              <w:bidi w:val="0"/>
              <w:jc w:val="center"/>
            </w:pP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34 (16.1 %)</w:t>
            </w: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147 (70</w:t>
            </w:r>
            <w:r w:rsidR="007C747D">
              <w:t>.0</w:t>
            </w:r>
            <w:r w:rsidRPr="008A5C01">
              <w:t xml:space="preserve"> %)</w:t>
            </w: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4 (2</w:t>
            </w:r>
            <w:r w:rsidR="007C747D">
              <w:t>.0</w:t>
            </w:r>
            <w:r w:rsidRPr="008A5C01">
              <w:t xml:space="preserve"> %)</w:t>
            </w:r>
          </w:p>
          <w:p w:rsidR="007E3DFC" w:rsidRPr="008A5C01" w:rsidRDefault="007E3DFC" w:rsidP="00ED6D8D">
            <w:pPr>
              <w:bidi w:val="0"/>
              <w:jc w:val="center"/>
            </w:pPr>
            <w:r w:rsidRPr="008A5C01">
              <w:t>25 (11.9 %)</w:t>
            </w:r>
          </w:p>
        </w:tc>
      </w:tr>
      <w:tr w:rsidR="00067077" w:rsidRPr="008A5C01" w:rsidTr="00BE3E6E">
        <w:trPr>
          <w:trHeight w:val="848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067077" w:rsidRPr="00067077" w:rsidRDefault="00067077" w:rsidP="00ED6D8D">
            <w:pPr>
              <w:bidi w:val="0"/>
            </w:pPr>
            <w:r w:rsidRPr="00067077">
              <w:t>CMV status before transplant</w:t>
            </w:r>
          </w:p>
          <w:p w:rsidR="00067077" w:rsidRPr="008A5C01" w:rsidRDefault="00067077" w:rsidP="00067077">
            <w:pPr>
              <w:bidi w:val="0"/>
              <w:ind w:left="720"/>
            </w:pPr>
            <w:proofErr w:type="spellStart"/>
            <w:r w:rsidRPr="008A5C01">
              <w:t>IgG</w:t>
            </w:r>
            <w:proofErr w:type="spellEnd"/>
            <w:r>
              <w:t xml:space="preserve"> p</w:t>
            </w:r>
            <w:r w:rsidRPr="008A5C01">
              <w:t xml:space="preserve">ositive </w:t>
            </w:r>
          </w:p>
          <w:p w:rsidR="00067077" w:rsidRPr="00067077" w:rsidRDefault="00067077" w:rsidP="00067077">
            <w:pPr>
              <w:bidi w:val="0"/>
              <w:ind w:left="720"/>
            </w:pPr>
            <w:proofErr w:type="spellStart"/>
            <w:r w:rsidRPr="008A5C01">
              <w:t>IgM</w:t>
            </w:r>
            <w:proofErr w:type="spellEnd"/>
            <w:r>
              <w:t xml:space="preserve"> p</w:t>
            </w:r>
            <w:r w:rsidRPr="008A5C01">
              <w:t xml:space="preserve">ositive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067077" w:rsidRDefault="00067077" w:rsidP="00067077">
            <w:pPr>
              <w:bidi w:val="0"/>
              <w:jc w:val="center"/>
            </w:pPr>
          </w:p>
          <w:p w:rsidR="00067077" w:rsidRPr="008A5C01" w:rsidRDefault="00067077" w:rsidP="00067077">
            <w:pPr>
              <w:bidi w:val="0"/>
              <w:jc w:val="center"/>
            </w:pPr>
            <w:r w:rsidRPr="008A5C01">
              <w:t>205 (97.6%)</w:t>
            </w:r>
          </w:p>
          <w:p w:rsidR="00067077" w:rsidRPr="00067077" w:rsidRDefault="00067077" w:rsidP="00067077">
            <w:pPr>
              <w:bidi w:val="0"/>
              <w:jc w:val="center"/>
            </w:pPr>
            <w:r w:rsidRPr="008A5C01">
              <w:t>10 (4.8 %)</w:t>
            </w:r>
          </w:p>
        </w:tc>
      </w:tr>
      <w:tr w:rsidR="007E3DFC" w:rsidRPr="008A5C01" w:rsidTr="00BE3E6E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7E3DFC" w:rsidRPr="008A5C01" w:rsidRDefault="007E3DFC" w:rsidP="00ED6D8D">
            <w:pPr>
              <w:bidi w:val="0"/>
            </w:pPr>
            <w:r w:rsidRPr="008A5C01">
              <w:t>CMV prophylaxis given</w:t>
            </w:r>
          </w:p>
          <w:p w:rsidR="007E3DFC" w:rsidRPr="008A5C01" w:rsidRDefault="007E3DFC" w:rsidP="008A5C01">
            <w:pPr>
              <w:bidi w:val="0"/>
              <w:ind w:left="720"/>
            </w:pPr>
            <w:r w:rsidRPr="008A5C01">
              <w:t>Acyclovir</w:t>
            </w:r>
          </w:p>
          <w:p w:rsidR="007E3DFC" w:rsidRDefault="007E3DFC" w:rsidP="008A5C01">
            <w:pPr>
              <w:bidi w:val="0"/>
              <w:ind w:left="720"/>
            </w:pPr>
            <w:r w:rsidRPr="008A5C01">
              <w:t xml:space="preserve">Valacyclovir </w:t>
            </w:r>
          </w:p>
          <w:p w:rsidR="007D4C23" w:rsidRPr="008A5C01" w:rsidRDefault="007D4C23" w:rsidP="007D4C23">
            <w:pPr>
              <w:bidi w:val="0"/>
              <w:ind w:left="720"/>
            </w:pPr>
            <w:r>
              <w:t>Unknown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DFC" w:rsidRPr="008A5C01" w:rsidRDefault="007E3DFC" w:rsidP="008A5C01">
            <w:pPr>
              <w:bidi w:val="0"/>
              <w:jc w:val="center"/>
            </w:pPr>
          </w:p>
          <w:p w:rsidR="007E3DFC" w:rsidRPr="008A5C01" w:rsidRDefault="007E3DFC" w:rsidP="007D4C23">
            <w:pPr>
              <w:bidi w:val="0"/>
              <w:jc w:val="center"/>
            </w:pPr>
            <w:r w:rsidRPr="008A5C01">
              <w:t>198 (94.</w:t>
            </w:r>
            <w:r w:rsidR="007D4C23">
              <w:t>3</w:t>
            </w:r>
            <w:r w:rsidRPr="008A5C01">
              <w:t>%)</w:t>
            </w:r>
          </w:p>
          <w:p w:rsidR="007E3DFC" w:rsidRDefault="007E3DFC" w:rsidP="007D4C23">
            <w:pPr>
              <w:bidi w:val="0"/>
              <w:jc w:val="center"/>
            </w:pPr>
            <w:r w:rsidRPr="008A5C01">
              <w:t>11 (5.</w:t>
            </w:r>
            <w:r w:rsidR="007D4C23">
              <w:t>2</w:t>
            </w:r>
            <w:r w:rsidRPr="008A5C01">
              <w:t>%)</w:t>
            </w:r>
          </w:p>
          <w:p w:rsidR="007D4C23" w:rsidRPr="008A5C01" w:rsidRDefault="007D4C23" w:rsidP="007D4C23">
            <w:pPr>
              <w:bidi w:val="0"/>
              <w:jc w:val="center"/>
            </w:pPr>
            <w:r>
              <w:t>1 (0.5%)</w:t>
            </w:r>
          </w:p>
        </w:tc>
      </w:tr>
      <w:tr w:rsidR="00C22FB4" w:rsidRPr="008A5C01" w:rsidTr="00BE3E6E"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C22FB4" w:rsidRDefault="00C22FB4" w:rsidP="00ED6D8D">
            <w:pPr>
              <w:bidi w:val="0"/>
            </w:pPr>
            <w:r>
              <w:t>Conditioning regimen</w:t>
            </w:r>
          </w:p>
          <w:p w:rsidR="00C22FB4" w:rsidRDefault="00C22FB4" w:rsidP="00C22FB4">
            <w:pPr>
              <w:bidi w:val="0"/>
              <w:ind w:left="720"/>
            </w:pPr>
            <w:r>
              <w:t>Lymphoma patients</w:t>
            </w:r>
          </w:p>
          <w:p w:rsidR="00C22FB4" w:rsidRDefault="00C22FB4" w:rsidP="00C22FB4">
            <w:pPr>
              <w:bidi w:val="0"/>
              <w:ind w:left="1440"/>
            </w:pPr>
            <w:r>
              <w:t>BEAM</w:t>
            </w:r>
          </w:p>
          <w:p w:rsidR="00C22FB4" w:rsidRDefault="00C22FB4" w:rsidP="00C22FB4">
            <w:pPr>
              <w:bidi w:val="0"/>
              <w:ind w:left="1440"/>
            </w:pPr>
            <w:r>
              <w:t>TEAM</w:t>
            </w:r>
          </w:p>
          <w:p w:rsidR="00C22FB4" w:rsidRDefault="00C22FB4" w:rsidP="00C22FB4">
            <w:pPr>
              <w:bidi w:val="0"/>
              <w:ind w:left="720"/>
            </w:pPr>
            <w:r>
              <w:t>Multiple myeloma patients</w:t>
            </w:r>
          </w:p>
          <w:p w:rsidR="00C22FB4" w:rsidRPr="008A5C01" w:rsidRDefault="00C22FB4" w:rsidP="00C22FB4">
            <w:pPr>
              <w:bidi w:val="0"/>
              <w:ind w:left="1440"/>
            </w:pPr>
            <w:r>
              <w:t>Melphalan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FB4" w:rsidRDefault="00C22FB4" w:rsidP="00C22FB4">
            <w:pPr>
              <w:bidi w:val="0"/>
              <w:jc w:val="center"/>
            </w:pPr>
          </w:p>
          <w:p w:rsidR="00C22FB4" w:rsidRDefault="00C22FB4" w:rsidP="00C22FB4">
            <w:pPr>
              <w:bidi w:val="0"/>
              <w:jc w:val="center"/>
            </w:pPr>
          </w:p>
          <w:p w:rsidR="00C22FB4" w:rsidRDefault="00C22FB4" w:rsidP="00C22FB4">
            <w:pPr>
              <w:bidi w:val="0"/>
              <w:jc w:val="center"/>
            </w:pPr>
            <w:r>
              <w:t>111 (96.5%)</w:t>
            </w:r>
          </w:p>
          <w:p w:rsidR="00C22FB4" w:rsidRDefault="00C22FB4" w:rsidP="00C22FB4">
            <w:pPr>
              <w:bidi w:val="0"/>
              <w:jc w:val="center"/>
            </w:pPr>
            <w:r>
              <w:t>4 (3.5%)</w:t>
            </w:r>
          </w:p>
          <w:p w:rsidR="00C22FB4" w:rsidRDefault="00C22FB4" w:rsidP="00C22FB4">
            <w:pPr>
              <w:bidi w:val="0"/>
              <w:jc w:val="center"/>
            </w:pPr>
          </w:p>
          <w:p w:rsidR="00C22FB4" w:rsidRPr="008A5C01" w:rsidRDefault="00C22FB4" w:rsidP="00C22FB4">
            <w:pPr>
              <w:bidi w:val="0"/>
              <w:jc w:val="center"/>
            </w:pPr>
            <w:r>
              <w:t>95 (100%)</w:t>
            </w:r>
          </w:p>
        </w:tc>
      </w:tr>
      <w:tr w:rsidR="008A5C01" w:rsidRPr="008A5C01" w:rsidTr="00BE3E6E">
        <w:trPr>
          <w:trHeight w:val="848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8A5C01" w:rsidRPr="008A5C01" w:rsidRDefault="00067077" w:rsidP="00067077">
            <w:pPr>
              <w:bidi w:val="0"/>
            </w:pPr>
            <w:r>
              <w:t xml:space="preserve">Median time </w:t>
            </w:r>
            <w:r w:rsidR="008A5C01">
              <w:t>to e</w:t>
            </w:r>
            <w:r w:rsidR="008A5C01" w:rsidRPr="008A5C01">
              <w:t>ngraftment</w:t>
            </w:r>
            <w:r w:rsidR="008A5C01">
              <w:t>, days (range)</w:t>
            </w:r>
          </w:p>
          <w:p w:rsidR="008A5C01" w:rsidRPr="008A5C01" w:rsidRDefault="008A5C01" w:rsidP="008A5C01">
            <w:pPr>
              <w:bidi w:val="0"/>
              <w:ind w:left="720"/>
            </w:pPr>
            <w:r w:rsidRPr="008A5C01">
              <w:t xml:space="preserve">Median neutrophil </w:t>
            </w:r>
            <w:r>
              <w:t>engraftment</w:t>
            </w:r>
            <w:r w:rsidRPr="008A5C01">
              <w:t xml:space="preserve">  </w:t>
            </w:r>
          </w:p>
          <w:p w:rsidR="008A5C01" w:rsidRPr="008A5C01" w:rsidRDefault="008A5C01" w:rsidP="00067077">
            <w:pPr>
              <w:bidi w:val="0"/>
              <w:ind w:left="720"/>
            </w:pPr>
            <w:r w:rsidRPr="008A5C01">
              <w:t xml:space="preserve">Median platelet engraftment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8A5C01" w:rsidRDefault="008A5C01" w:rsidP="008A5C01">
            <w:pPr>
              <w:bidi w:val="0"/>
              <w:jc w:val="center"/>
            </w:pPr>
          </w:p>
          <w:p w:rsidR="008A5C01" w:rsidRPr="008A5C01" w:rsidRDefault="008A5C01" w:rsidP="008A5C01">
            <w:pPr>
              <w:bidi w:val="0"/>
              <w:jc w:val="center"/>
            </w:pPr>
            <w:r w:rsidRPr="008A5C01">
              <w:t>10  (7-15)</w:t>
            </w:r>
          </w:p>
          <w:p w:rsidR="008A5C01" w:rsidRPr="008A5C01" w:rsidRDefault="008A5C01" w:rsidP="008A5C01">
            <w:pPr>
              <w:bidi w:val="0"/>
              <w:jc w:val="center"/>
            </w:pPr>
            <w:r w:rsidRPr="008A5C01">
              <w:t>16 (7-47)</w:t>
            </w:r>
          </w:p>
        </w:tc>
      </w:tr>
      <w:tr w:rsidR="00DF6DC9" w:rsidRPr="008A5C01" w:rsidTr="00BE3E6E">
        <w:trPr>
          <w:trHeight w:val="848"/>
        </w:trPr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C9" w:rsidRDefault="00DF6DC9" w:rsidP="00067077">
            <w:pPr>
              <w:bidi w:val="0"/>
            </w:pPr>
            <w:r>
              <w:t>Mortality</w:t>
            </w:r>
          </w:p>
          <w:p w:rsidR="004200BC" w:rsidRDefault="004200BC" w:rsidP="004200BC">
            <w:pPr>
              <w:bidi w:val="0"/>
              <w:ind w:left="720"/>
            </w:pPr>
            <w:r>
              <w:t>Overall</w:t>
            </w:r>
          </w:p>
          <w:p w:rsidR="004200BC" w:rsidRDefault="004200BC" w:rsidP="004200BC">
            <w:pPr>
              <w:bidi w:val="0"/>
              <w:ind w:left="720"/>
            </w:pPr>
            <w:r>
              <w:t>Day 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C9" w:rsidRDefault="00DF6DC9" w:rsidP="008A5C01">
            <w:pPr>
              <w:bidi w:val="0"/>
              <w:jc w:val="center"/>
            </w:pPr>
          </w:p>
          <w:p w:rsidR="004200BC" w:rsidRDefault="004200BC" w:rsidP="004200BC">
            <w:pPr>
              <w:bidi w:val="0"/>
              <w:jc w:val="center"/>
            </w:pPr>
            <w:r>
              <w:t>50 (23.8%)</w:t>
            </w:r>
          </w:p>
          <w:p w:rsidR="004200BC" w:rsidRDefault="004200BC" w:rsidP="004200BC">
            <w:pPr>
              <w:bidi w:val="0"/>
              <w:jc w:val="center"/>
            </w:pPr>
            <w:r>
              <w:t>6 (2.9%)</w:t>
            </w:r>
          </w:p>
        </w:tc>
      </w:tr>
    </w:tbl>
    <w:p w:rsidR="007E3DFC" w:rsidRPr="008A5C01" w:rsidRDefault="007E3DFC" w:rsidP="007E3DFC">
      <w:pPr>
        <w:bidi w:val="0"/>
      </w:pPr>
    </w:p>
    <w:p w:rsidR="00515E60" w:rsidRDefault="00067077" w:rsidP="00C22FB4">
      <w:pPr>
        <w:bidi w:val="0"/>
      </w:pPr>
      <w:r>
        <w:t>Abbreviations: CMV, Cytomegalovirus</w:t>
      </w:r>
      <w:r w:rsidR="00C22FB4">
        <w:t>; BEAM, BCNU, Etoposide, Cytarabine, Melphalan; TEAM, Thiotepa, Etoposide, Cytarabine, Melphalan</w:t>
      </w:r>
    </w:p>
    <w:sectPr w:rsidR="00515E60" w:rsidSect="00515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7E3DFC"/>
    <w:rsid w:val="000260E1"/>
    <w:rsid w:val="00067077"/>
    <w:rsid w:val="000845E9"/>
    <w:rsid w:val="000D08BD"/>
    <w:rsid w:val="001D30E6"/>
    <w:rsid w:val="001E75ED"/>
    <w:rsid w:val="002165FF"/>
    <w:rsid w:val="0024653B"/>
    <w:rsid w:val="002642E4"/>
    <w:rsid w:val="0026772C"/>
    <w:rsid w:val="002E3129"/>
    <w:rsid w:val="002F7712"/>
    <w:rsid w:val="0032074B"/>
    <w:rsid w:val="003403C3"/>
    <w:rsid w:val="003E4A75"/>
    <w:rsid w:val="004009DC"/>
    <w:rsid w:val="004200BC"/>
    <w:rsid w:val="004A3978"/>
    <w:rsid w:val="00515766"/>
    <w:rsid w:val="00515E60"/>
    <w:rsid w:val="005937D3"/>
    <w:rsid w:val="005B702C"/>
    <w:rsid w:val="005E531B"/>
    <w:rsid w:val="00607D00"/>
    <w:rsid w:val="00632B56"/>
    <w:rsid w:val="00664672"/>
    <w:rsid w:val="00784D85"/>
    <w:rsid w:val="007B2B8D"/>
    <w:rsid w:val="007C747D"/>
    <w:rsid w:val="007D4C23"/>
    <w:rsid w:val="007E3DFC"/>
    <w:rsid w:val="00811F0E"/>
    <w:rsid w:val="008324D0"/>
    <w:rsid w:val="00837185"/>
    <w:rsid w:val="008442EE"/>
    <w:rsid w:val="00851B4B"/>
    <w:rsid w:val="00897D11"/>
    <w:rsid w:val="008A5C01"/>
    <w:rsid w:val="008C2F77"/>
    <w:rsid w:val="008C4814"/>
    <w:rsid w:val="00907BE9"/>
    <w:rsid w:val="00922307"/>
    <w:rsid w:val="00964D52"/>
    <w:rsid w:val="0099084A"/>
    <w:rsid w:val="0099172F"/>
    <w:rsid w:val="009D5848"/>
    <w:rsid w:val="009D6575"/>
    <w:rsid w:val="009E04BD"/>
    <w:rsid w:val="00A45E82"/>
    <w:rsid w:val="00AF4239"/>
    <w:rsid w:val="00AF7073"/>
    <w:rsid w:val="00B75CE9"/>
    <w:rsid w:val="00BA608C"/>
    <w:rsid w:val="00BE3E6E"/>
    <w:rsid w:val="00C22FB4"/>
    <w:rsid w:val="00CD11DC"/>
    <w:rsid w:val="00D35499"/>
    <w:rsid w:val="00D72665"/>
    <w:rsid w:val="00D972DA"/>
    <w:rsid w:val="00DB2097"/>
    <w:rsid w:val="00DF6DC9"/>
    <w:rsid w:val="00E6025A"/>
    <w:rsid w:val="00F25908"/>
    <w:rsid w:val="00F851FE"/>
    <w:rsid w:val="00FC3F8B"/>
    <w:rsid w:val="00FD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fabdelrahman</dc:creator>
  <cp:lastModifiedBy>Mustafa</cp:lastModifiedBy>
  <cp:revision>3</cp:revision>
  <dcterms:created xsi:type="dcterms:W3CDTF">2015-05-23T17:02:00Z</dcterms:created>
  <dcterms:modified xsi:type="dcterms:W3CDTF">2015-05-23T18:49:00Z</dcterms:modified>
</cp:coreProperties>
</file>